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jc w:val="center"/>
        <w:rPr>
          <w:rFonts w:ascii="黑体" w:hAnsi="宋体" w:eastAsia="黑体" w:cs="黑体"/>
          <w:i w:val="0"/>
          <w:iCs w:val="0"/>
          <w:color w:val="000000"/>
          <w:sz w:val="24"/>
          <w:szCs w:val="24"/>
          <w:u w:val="none"/>
        </w:rPr>
      </w:pPr>
      <w:r>
        <w:rPr>
          <w:rFonts w:hint="eastAsia" w:ascii="方正小标宋_GBK" w:hAnsi="方正小标宋_GBK" w:eastAsia="方正小标宋_GBK" w:cs="方正小标宋_GBK"/>
          <w:b w:val="0"/>
          <w:bCs w:val="0"/>
          <w:sz w:val="36"/>
          <w:szCs w:val="44"/>
          <w:lang w:val="en-US" w:eastAsia="zh-CN"/>
        </w:rPr>
        <w:t>2025年度第一批湖南省自然科学基金部门（省药监局）联合基金项目拟结题清单</w:t>
      </w:r>
    </w:p>
    <w:tbl>
      <w:tblPr>
        <w:tblStyle w:val="3"/>
        <w:tblW w:w="1338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5"/>
        <w:gridCol w:w="2189"/>
        <w:gridCol w:w="7149"/>
        <w:gridCol w:w="1543"/>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58" w:hRule="atLeast"/>
          <w:tblHeader/>
        </w:trPr>
        <w:tc>
          <w:tcPr>
            <w:tcW w:w="955" w:type="dxa"/>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2189" w:type="dxa"/>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项目编号</w:t>
            </w:r>
          </w:p>
        </w:tc>
        <w:tc>
          <w:tcPr>
            <w:tcW w:w="7149" w:type="dxa"/>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项目名称</w:t>
            </w:r>
          </w:p>
        </w:tc>
        <w:tc>
          <w:tcPr>
            <w:tcW w:w="1543" w:type="dxa"/>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项目负责人</w:t>
            </w:r>
          </w:p>
        </w:tc>
        <w:tc>
          <w:tcPr>
            <w:tcW w:w="1551" w:type="dxa"/>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2022JJ80075</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基于通用DNA身份证的湖南省炮制规范中动物类药材真伪鉴别研究与质量监管</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蔡媛</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2023JJ60490</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从“肠-皮”轴探究银屑平丸纠正肠菌及其代谢产物失衡抑制中性粒细胞活化生成NETs干预银屑病的免疫机制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席建元</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2023JJ60452</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黄芩素调控SIRT6并抑制ELAVL1介导的细胞铁死亡改善脑缺血再灌注损伤后认知功能障碍的机制研究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方翠霓</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2023JJ60454</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甲基莲心碱靶向NLRC5/NLRP3通路抑制巨噬细胞M1型极化和细胞焦亡改善尿酸性肾病的作用机制研究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殷薇</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2023JJ60113</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基于瘀毒同治的丹膝颗粒通过NAMPT/NAD+/PARP-1信号通路抗缺血脑卒中神经炎症损伤机制研究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龙慧玲</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2022JJ80073</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金圣草黄素通过PI3K-AKT-mTORC1通路调控SREBP1诱导铁死亡抗肝癌的作用及机制研究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黎银波</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2023JJ60117</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基于“性状-成分-毒效”关系的制吴茱萸饮片品质评价研究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陈玲珑</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2023JJ60457</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基于中药质量标志物理念的中药创新药-清热化痰颗粒质量标准研究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李柯</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2023JJ60482</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百合地黄汤通过激活CB2R调节小胶质细胞极化表型抗焦虑的机制研究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赵洪庆</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2023JJ60479</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博落回提取物纳米晶脂质载体的构建及增效机理的研究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杨晶</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2023JJ60126</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代谢组学和网络药理学相结合的综合策略研究人参皂苷Rg1抗抑郁机制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林美妤</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2023JJ60476</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基于GR/P2X7双信号介导的AHN受损研究DD海马DG-CA3神经环路传导障碍机制及中药干预</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王宇红</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2023JJ60481</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基于PINK1/Parkin介导的线粒体自噬探讨百合鸡子汤干预抑郁症小胶质细胞极化抑制神经炎症的机制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袁志鹰</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2023JJ60475</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基于“多糖特征糖谱-促进脂肪能量代谢”模式的玉竹质量评价体系研究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刘月新</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2023JJ60124</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基于“方-药-成分-靶点”网络结合深度学习研究方剂治疗类风湿关节炎的功效作用机制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丁长松</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2023JJ60128</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夏枯草籽油介导跨肠胆固醇外泌途径调节脂代谢的作用及机制研究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张智敏</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2023JJ60485</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基于TREM2/NF-κB信号通路探究石榴皮多酚抗痤疮机制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朱明芳</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2023JJ60483</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基于“瘀毒互结”理论探讨肠道“炎-癌”转化及加味黄芩汤防治肠癌发生的分子机制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曹文</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2022JJ80094</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基于温敏型纳米凝胶对阳痿脐疗药物新剂型开发应用研究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杨磊</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2023JJ60486</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基于“性-效-物三元论”研究黄精芡实汤防治糖尿病前期的药效物质基础</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蔡嘉洛</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2023JJ60134</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甲基莲心碱上调Nrf2抑制铁死亡延缓糖尿病肾脏疾病进展</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袁新科</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2023JJ60498</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苦木碱丁靶向胶质母细胞瘤干细胞治疗胶质母细胞瘤的临床前评价</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李威</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2022JJ80124</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银杏叶提取物注射液调控miR-155-5p/SIRT1/TLR4信号轴改善百草枯所致急性肺损伤的机制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刘根林</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2023JJ60447</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肿瘤治疗用缓释型载药凝胶栓塞微球制备关键技术</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陈一</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2022JJ80119</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CDK7 靶向抑制剂重塑 CML 超级增强子转录复合体增强 TKI 早期分子应答的机制研究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屈强</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2023JJ60101</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二甲双胍经NRF2/GPX4通路抑制铁死亡减轻幼年脓毒症小鼠肝损伤</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曾赛珍</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2023JJ60103</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耐碳青霉烯类高毒力肺炎克雷伯菌氨基糖苷类耐药机制及毒力进化关系研究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谢良伊</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2023JJ60105</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ICHQ3D应用于药用辅料元素杂质风险评估及质量控制示范性研究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蔡立荣</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2022JJ80009</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复方锌铁钙口服溶液质量研究及处方工艺合理性确认</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李琦</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2023JJ60108</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基于HPLC和UPLC-MS/MS构建25种祛斑美白类化妆品原料快速检测方法的研究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吴姣娇</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2023JJ60107</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透皮制剂中黏合剂新型药用辅料聚丙烯酸钠关键质量属性与应用的研究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刘杨</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2023JJ60106</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药用辅料全生命周期风险评估与风险预警体系研究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刘雁鸣</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2023JJ60466</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m6A甲基化上调FOXC1表达促进食管鳞癌顺铂耐药的作用与机制研究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苏敏</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2024JJ8117</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TAMs源外泌体miR-2355-5p抑制铁死亡诱导头颈鳞癌免疫检验点抑制剂耐药的作用机制研究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张海林</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2023JJ60469</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二烯丙基二硫通过下调POU2F1调控糖代谢重编程抑制结肠癌恶性演进和耐药的作用与机制研究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周钰娟</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2023JJ60121</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基于MAPK和Pyrin双信号通路研究炎性小体介导乳腺癌并发抑郁症海马神经元焦亡机制及中药干预</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朱青</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2023JJ60464</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一种新型联用优替德隆和卡培他滨长效纳米制剂的制备及其靶向三阴性乳腺癌治疗效力研究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欧阳取长</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2023JJ60122</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基于TRPV6的抗前列腺癌药物设计与开发</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冯星</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2023JJ60494</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基于质谱成像技术探究安罗替尼在非小细胞肺癌的肿瘤组织分布与脂质代谢组学</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陈丹君</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2022JJ80034</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一种新型葡萄糖酸钙锌口服溶液的研究开发</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舒森</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2023JJ60504</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多模态超声研究盆底植入物在体生物力学作用</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文烈明</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2023JJ60503</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基于离散事件仿真的银屑病关节炎模型构建及药物经济学评价研究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万小敏</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2022JJ80047</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基于LC-DAD-MS和SPR技术探索肾移植患者中五酯胶囊代谢物与他克莫司的药物相互作用及MBI机制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叶倩倩</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2022JJ80046</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离子通道基因多态性对丙戊酸抗癫痫疗效的影响</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罗佳</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2023JJ60492</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吡啶并吖啶生物碱全合成及研究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姜东方</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2022JJ80029</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枸橼酸托法替布连续流合成和在线快检技术研究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曾伟强</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2023JJ60143</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规律服用西地那非治疗肥胖性勃起功能障碍的药理作用与临床研究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徐素梅</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2022JJ80042</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基于真实世界数据的医疗器械再评价方法研究</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彭伟莲</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2023JJ60144</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无创脑水肿动态监护对重症脑出血预后影响及人工智能预测模型构建</w:t>
            </w:r>
            <w:bookmarkStart w:id="0" w:name="_GoBack"/>
            <w:bookmarkEnd w:id="0"/>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张乐</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2023JJ60109</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化妆品中非法添加药物成分高通量筛查体系的研究及应用</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尹伟成</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5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21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2023JJ60513</w:t>
            </w:r>
          </w:p>
        </w:tc>
        <w:tc>
          <w:tcPr>
            <w:tcW w:w="71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针对非结构化病程文本数据的智能化ADR监测系统建设与研发</w:t>
            </w:r>
          </w:p>
        </w:tc>
        <w:tc>
          <w:tcPr>
            <w:tcW w:w="154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阳国平</w:t>
            </w:r>
          </w:p>
        </w:tc>
        <w:tc>
          <w:tcPr>
            <w:tcW w:w="155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合格</w:t>
            </w:r>
          </w:p>
        </w:tc>
      </w:tr>
    </w:tbl>
    <w:p>
      <w:pPr>
        <w:rPr>
          <w:sz w:val="22"/>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1B65F9-D818-4354-84D9-4135FE5AFA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embedRegular r:id="rId2" w:fontKey="{E4F88C12-C6B0-405C-8345-AA1E1D8524C3}"/>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D304B"/>
    <w:rsid w:val="372D7872"/>
    <w:rsid w:val="4AC35735"/>
    <w:rsid w:val="4F0E4864"/>
    <w:rsid w:val="5827560C"/>
    <w:rsid w:val="5B2D187D"/>
    <w:rsid w:val="61ED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21"/>
    <w:basedOn w:val="2"/>
    <w:qFormat/>
    <w:uiPriority w:val="0"/>
    <w:rPr>
      <w:rFonts w:hint="eastAsia" w:ascii="仿宋_GB2312" w:eastAsia="仿宋_GB2312" w:cs="仿宋_GB2312"/>
      <w:color w:val="000000"/>
      <w:sz w:val="24"/>
      <w:szCs w:val="24"/>
      <w:u w:val="none"/>
    </w:rPr>
  </w:style>
  <w:style w:type="character" w:customStyle="1" w:styleId="5">
    <w:name w:val="font31"/>
    <w:basedOn w:val="2"/>
    <w:qFormat/>
    <w:uiPriority w:val="0"/>
    <w:rPr>
      <w:rFonts w:hint="eastAsia" w:ascii="宋体" w:hAnsi="宋体" w:eastAsia="宋体" w:cs="宋体"/>
      <w:color w:val="000000"/>
      <w:sz w:val="24"/>
      <w:szCs w:val="24"/>
      <w:u w:val="none"/>
    </w:rPr>
  </w:style>
  <w:style w:type="character" w:customStyle="1" w:styleId="6">
    <w:name w:val="font11"/>
    <w:basedOn w:val="2"/>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1917</Words>
  <Characters>2687</Characters>
  <Lines>0</Lines>
  <Paragraphs>0</Paragraphs>
  <TotalTime>26</TotalTime>
  <ScaleCrop>false</ScaleCrop>
  <LinksUpToDate>false</LinksUpToDate>
  <CharactersWithSpaces>2692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2024-12-17T04:53:00Z</dcterms:created>
  <dc:creator>弓 长 张</dc:creator>
  <cp:lastModifiedBy>Administrator</cp:lastModifiedBy>
  <dcterms:modified xsi:type="dcterms:W3CDTF">2025-08-07T07:29:34Z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C168499A5D1E49089E73E60902BC8176_13</vt:lpwstr>
  </property>
  <property fmtid="{D5CDD505-2E9C-101B-9397-08002B2CF9AE}" pid="4" name="KSOTemplateDocerSaveRecord">
    <vt:lpwstr>eyJoZGlkIjoiYWViMzQ5M2ZlYTk3N2UxYjU3MDlmMDQwNmI3MjNiYWIiLCJ1c2VySWQiOiI0OTY0NTcyMzQifQ==</vt:lpwstr>
  </property>
</Properties>
</file>